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FD">
        <w:rPr>
          <w:rFonts w:ascii="Times New Roman" w:hAnsi="Times New Roman" w:cs="Times New Roman"/>
          <w:b/>
          <w:bCs/>
          <w:sz w:val="28"/>
          <w:szCs w:val="28"/>
        </w:rPr>
        <w:t>Должникам по исполнительным производствам предоставлено право на сохранение ежемесячного дохода в размере прожиточного минимума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29.06.2021 № 234-ФЗ внесены изменения в Федеральный закон «Об исполнительном производстве» должникам по исполнительным производствам предоставляются дополнительные гарантии при совершении исполнительских действий в виде сохранения ежемесячного дохода в размере прожиточного минимума.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06.12.2021 № 390-ФЗ «О федеральном бюджете на 2022 год и на плановый период 2023-2024 годов»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2022 прожиточный минимум составляет: на душу населения 12 654 руб., для трудоспособного населения - 13 793 руб., пенсионеров - 10 882 руб., детей - 12 274 руб.</w:t>
      </w:r>
      <w:proofErr w:type="gramEnd"/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Основанием для сохранения денежных средств на счетах должника является заявление, поданное гражданином судебному приставу-исполнителю, в производстве которого находится исполнительное производство с приложением документов, подтверждающих наличие у него ежемесячного дохода, сведений об источниках такого дохода.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судебным приставом-исполнителем должно быть вынесено постановление, фиксирующее обязанность взыскивать денежные средства с учетом наличия прожиточного минимума на счетах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 xml:space="preserve">Данное постановление обязательно для исполнения не только для органов принудительного исполнения, но и для работодателей в случае, если взыскание производится финансовыми подразделениями работодателей. При таких обстоятельствах обязанность по предоставлению постановления судебного </w:t>
      </w:r>
      <w:proofErr w:type="gramStart"/>
      <w:r w:rsidRPr="008329F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329FD">
        <w:rPr>
          <w:rFonts w:ascii="Times New Roman" w:hAnsi="Times New Roman" w:cs="Times New Roman"/>
          <w:sz w:val="28"/>
          <w:szCs w:val="28"/>
        </w:rPr>
        <w:t>ристава исполнителя работодателю возлагается на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60210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Изменения вступили в законную силу с 01.02.2022 года.</w:t>
      </w: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2022-06-28T06:11:00Z</dcterms:modified>
</cp:coreProperties>
</file>